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6EBC0FDF"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w:t>
      </w:r>
      <w:r w:rsidR="00154FA6">
        <w:rPr>
          <w:rFonts w:asciiTheme="minorHAnsi" w:hAnsiTheme="minorHAnsi" w:cstheme="minorHAnsi"/>
          <w:bCs/>
          <w:noProof w:val="0"/>
          <w:sz w:val="24"/>
          <w:szCs w:val="24"/>
          <w:lang w:eastAsia="zh-CN"/>
        </w:rPr>
        <w:t>1</w:t>
      </w:r>
      <w:r w:rsidR="005D5557">
        <w:rPr>
          <w:rFonts w:asciiTheme="minorHAnsi" w:hAnsiTheme="minorHAnsi" w:cstheme="minorHAnsi"/>
          <w:bCs/>
          <w:noProof w:val="0"/>
          <w:sz w:val="24"/>
          <w:szCs w:val="24"/>
          <w:lang w:eastAsia="zh-CN"/>
        </w:rPr>
        <w:t>1</w:t>
      </w:r>
      <w:r>
        <w:rPr>
          <w:rFonts w:asciiTheme="minorHAnsi" w:hAnsiTheme="minorHAnsi" w:cstheme="minorHAnsi"/>
          <w:bCs/>
          <w:noProof w:val="0"/>
          <w:sz w:val="24"/>
          <w:szCs w:val="24"/>
          <w:lang w:eastAsia="zh-CN"/>
        </w:rPr>
        <w:tab/>
      </w:r>
      <w:r w:rsidR="008F29E8" w:rsidRPr="008F29E8">
        <w:rPr>
          <w:rFonts w:asciiTheme="minorHAnsi" w:hAnsiTheme="minorHAnsi" w:cstheme="minorHAnsi"/>
          <w:bCs/>
          <w:noProof w:val="0"/>
          <w:sz w:val="24"/>
          <w:szCs w:val="24"/>
          <w:lang w:eastAsia="zh-CN"/>
        </w:rPr>
        <w:t>R4-24</w:t>
      </w:r>
      <w:r w:rsidR="00F14168" w:rsidRPr="00F14168">
        <w:rPr>
          <w:rFonts w:asciiTheme="minorHAnsi" w:hAnsiTheme="minorHAnsi" w:cstheme="minorHAnsi" w:hint="eastAsia"/>
          <w:bCs/>
          <w:noProof w:val="0"/>
          <w:sz w:val="24"/>
          <w:szCs w:val="24"/>
          <w:lang w:eastAsia="zh-CN"/>
        </w:rPr>
        <w:t>07697</w:t>
      </w:r>
    </w:p>
    <w:p w14:paraId="3A653C59" w14:textId="1859DC0B" w:rsidR="00F41657" w:rsidRDefault="005D5557" w:rsidP="00F41657">
      <w:pPr>
        <w:pStyle w:val="Header"/>
        <w:tabs>
          <w:tab w:val="right" w:pos="9639"/>
          <w:tab w:val="right" w:pos="13323"/>
        </w:tabs>
        <w:jc w:val="both"/>
        <w:rPr>
          <w:rFonts w:asciiTheme="minorHAnsi" w:hAnsiTheme="minorHAnsi" w:cstheme="minorHAnsi"/>
          <w:bCs/>
          <w:noProof w:val="0"/>
          <w:sz w:val="24"/>
          <w:szCs w:val="24"/>
          <w:lang w:eastAsia="zh-CN"/>
        </w:rPr>
      </w:pPr>
      <w:r w:rsidRPr="005D5557">
        <w:rPr>
          <w:rFonts w:asciiTheme="minorHAnsi" w:hAnsiTheme="minorHAnsi" w:cstheme="minorHAnsi"/>
          <w:bCs/>
          <w:noProof w:val="0"/>
          <w:sz w:val="24"/>
          <w:szCs w:val="24"/>
          <w:lang w:eastAsia="zh-CN"/>
        </w:rPr>
        <w:t>Fukuoka City,</w:t>
      </w:r>
      <w:r>
        <w:rPr>
          <w:rFonts w:asciiTheme="minorHAnsi" w:hAnsiTheme="minorHAnsi" w:cstheme="minorHAnsi"/>
          <w:bCs/>
          <w:noProof w:val="0"/>
          <w:sz w:val="24"/>
          <w:szCs w:val="24"/>
          <w:lang w:eastAsia="zh-CN"/>
        </w:rPr>
        <w:t xml:space="preserve"> </w:t>
      </w:r>
      <w:r w:rsidRPr="005D5557">
        <w:rPr>
          <w:rFonts w:asciiTheme="minorHAnsi" w:hAnsiTheme="minorHAnsi" w:cstheme="minorHAnsi"/>
          <w:bCs/>
          <w:noProof w:val="0"/>
          <w:sz w:val="24"/>
          <w:szCs w:val="24"/>
          <w:lang w:eastAsia="zh-CN"/>
        </w:rPr>
        <w:t>Fukuoka, JP</w:t>
      </w:r>
      <w:r w:rsidR="00160C88">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May</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20</w:t>
      </w:r>
      <w:r w:rsidR="00F41657">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May</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24</w:t>
      </w:r>
      <w:r w:rsidR="00F41657">
        <w:rPr>
          <w:rFonts w:asciiTheme="minorHAnsi" w:hAnsiTheme="minorHAnsi" w:cstheme="minorHAnsi"/>
          <w:bCs/>
          <w:noProof w:val="0"/>
          <w:sz w:val="24"/>
          <w:szCs w:val="24"/>
          <w:lang w:eastAsia="zh-CN"/>
        </w:rPr>
        <w:t>, 202</w:t>
      </w:r>
      <w:r w:rsidR="00154FA6">
        <w:rPr>
          <w:rFonts w:asciiTheme="minorHAnsi" w:hAnsiTheme="minorHAnsi" w:cstheme="minorHAnsi"/>
          <w:bCs/>
          <w:noProof w:val="0"/>
          <w:sz w:val="24"/>
          <w:szCs w:val="24"/>
          <w:lang w:eastAsia="zh-CN"/>
        </w:rPr>
        <w:t>4</w:t>
      </w:r>
    </w:p>
    <w:bookmarkEnd w:id="0"/>
    <w:p w14:paraId="169FBA1C" w14:textId="2C345E9A"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5D5557">
        <w:rPr>
          <w:rFonts w:asciiTheme="minorHAnsi" w:eastAsiaTheme="minorEastAsia" w:hAnsiTheme="minorHAnsi" w:cstheme="minorHAnsi"/>
          <w:bCs/>
          <w:noProof w:val="0"/>
          <w:sz w:val="24"/>
          <w:szCs w:val="24"/>
          <w:lang w:eastAsia="zh-CN"/>
        </w:rPr>
        <w:t>7</w:t>
      </w:r>
      <w:r w:rsidR="00747957" w:rsidRPr="00410463">
        <w:rPr>
          <w:rFonts w:asciiTheme="minorHAnsi" w:eastAsiaTheme="minorEastAsia" w:hAnsiTheme="minorHAnsi" w:cstheme="minorHAnsi"/>
          <w:bCs/>
          <w:noProof w:val="0"/>
          <w:sz w:val="24"/>
          <w:szCs w:val="24"/>
          <w:lang w:eastAsia="zh-CN"/>
        </w:rPr>
        <w:t>.</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A64C8A">
        <w:rPr>
          <w:rFonts w:asciiTheme="minorHAnsi" w:eastAsiaTheme="minorEastAsia" w:hAnsiTheme="minorHAnsi" w:cstheme="minorHAnsi"/>
          <w:bCs/>
          <w:noProof w:val="0"/>
          <w:sz w:val="24"/>
          <w:szCs w:val="24"/>
          <w:lang w:eastAsia="zh-CN"/>
        </w:rPr>
        <w:t>2.2</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0540C22D"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11112D" w:rsidRPr="0011112D">
        <w:rPr>
          <w:rFonts w:asciiTheme="minorHAnsi" w:eastAsiaTheme="minorEastAsia" w:hAnsiTheme="minorHAnsi" w:cstheme="minorHAnsi"/>
          <w:bCs/>
          <w:noProof w:val="0"/>
          <w:sz w:val="24"/>
          <w:szCs w:val="24"/>
          <w:lang w:eastAsia="zh-CN"/>
        </w:rPr>
        <w:t>measurement accuracy requirements</w:t>
      </w:r>
      <w:r w:rsidR="00C40474">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874562B" w14:textId="1F207D26" w:rsidR="000D7ACD" w:rsidRDefault="000E6490" w:rsidP="000D7ACD">
      <w:pPr>
        <w:jc w:val="both"/>
        <w:rPr>
          <w:rFonts w:eastAsia="新細明體" w:cstheme="minorHAnsi"/>
          <w:szCs w:val="24"/>
          <w:lang w:val="en-GB"/>
        </w:rPr>
      </w:pPr>
      <w:r>
        <w:rPr>
          <w:rFonts w:eastAsia="新細明體" w:cstheme="minorHAnsi" w:hint="eastAsia"/>
          <w:szCs w:val="24"/>
        </w:rPr>
        <w:t>I</w:t>
      </w:r>
      <w:r>
        <w:rPr>
          <w:rFonts w:eastAsia="新細明體" w:cstheme="minorHAnsi"/>
          <w:szCs w:val="24"/>
        </w:rPr>
        <w:t>n last meeting, the measurement accuracy was discussed with the agreement captured in</w:t>
      </w:r>
      <w:r w:rsidR="00C40474" w:rsidRPr="00C40474">
        <w:rPr>
          <w:rFonts w:eastAsia="新細明體" w:cstheme="minorHAnsi"/>
          <w:szCs w:val="24"/>
        </w:rPr>
        <w:t xml:space="preserve"> [1]</w:t>
      </w:r>
      <w:r>
        <w:rPr>
          <w:rFonts w:eastAsia="新細明體" w:cstheme="minorHAnsi"/>
          <w:szCs w:val="24"/>
        </w:rPr>
        <w:t>.</w:t>
      </w:r>
    </w:p>
    <w:tbl>
      <w:tblPr>
        <w:tblStyle w:val="TableGrid"/>
        <w:tblW w:w="0" w:type="auto"/>
        <w:tblLook w:val="04A0" w:firstRow="1" w:lastRow="0" w:firstColumn="1" w:lastColumn="0" w:noHBand="0" w:noVBand="1"/>
      </w:tblPr>
      <w:tblGrid>
        <w:gridCol w:w="9629"/>
      </w:tblGrid>
      <w:tr w:rsidR="000E6490" w14:paraId="3C3AA446" w14:textId="77777777" w:rsidTr="000E6490">
        <w:tc>
          <w:tcPr>
            <w:tcW w:w="9629" w:type="dxa"/>
          </w:tcPr>
          <w:p w14:paraId="4AD61B0A" w14:textId="77777777" w:rsidR="000E6490" w:rsidRPr="000E6490" w:rsidRDefault="000E6490" w:rsidP="000E6490">
            <w:pPr>
              <w:outlineLvl w:val="3"/>
              <w:rPr>
                <w:rFonts w:ascii="Times New Roman" w:eastAsia="SimSun" w:hAnsi="Times New Roman" w:cs="Times New Roman"/>
                <w:b/>
                <w:color w:val="000000" w:themeColor="text1"/>
                <w:kern w:val="0"/>
                <w:sz w:val="16"/>
                <w:szCs w:val="16"/>
                <w:u w:val="single"/>
                <w:lang w:eastAsia="ko-KR"/>
              </w:rPr>
            </w:pPr>
            <w:r w:rsidRPr="000E6490">
              <w:rPr>
                <w:b/>
                <w:color w:val="000000" w:themeColor="text1"/>
                <w:sz w:val="20"/>
                <w:szCs w:val="18"/>
                <w:u w:val="single"/>
                <w:lang w:eastAsia="ko-KR"/>
              </w:rPr>
              <w:t xml:space="preserve">Issue </w:t>
            </w:r>
            <w:r w:rsidRPr="000E6490">
              <w:rPr>
                <w:b/>
                <w:color w:val="000000" w:themeColor="text1"/>
                <w:sz w:val="20"/>
                <w:szCs w:val="18"/>
                <w:u w:val="single"/>
                <w:lang w:eastAsia="zh-CN"/>
              </w:rPr>
              <w:t>1</w:t>
            </w:r>
            <w:r w:rsidRPr="000E6490">
              <w:rPr>
                <w:b/>
                <w:color w:val="000000" w:themeColor="text1"/>
                <w:sz w:val="20"/>
                <w:szCs w:val="18"/>
                <w:u w:val="single"/>
                <w:lang w:eastAsia="ko-KR"/>
              </w:rPr>
              <w:t>-1: Accuracy requirements for multi-Rx in Rel-18</w:t>
            </w:r>
          </w:p>
          <w:p w14:paraId="12D82C39" w14:textId="77777777" w:rsidR="000E6490" w:rsidRPr="000E6490" w:rsidRDefault="000E6490" w:rsidP="000E6490">
            <w:pPr>
              <w:pStyle w:val="ListParagraph"/>
              <w:widowControl/>
              <w:numPr>
                <w:ilvl w:val="0"/>
                <w:numId w:val="29"/>
              </w:numPr>
              <w:overflowPunct w:val="0"/>
              <w:autoSpaceDE w:val="0"/>
              <w:autoSpaceDN w:val="0"/>
              <w:adjustRightInd w:val="0"/>
              <w:spacing w:after="120"/>
              <w:ind w:left="936"/>
              <w:contextualSpacing w:val="0"/>
              <w:rPr>
                <w:color w:val="000000" w:themeColor="text1"/>
                <w:sz w:val="20"/>
                <w:szCs w:val="18"/>
              </w:rPr>
            </w:pPr>
            <w:r w:rsidRPr="000E6490">
              <w:rPr>
                <w:color w:val="000000" w:themeColor="text1"/>
                <w:sz w:val="20"/>
                <w:szCs w:val="18"/>
              </w:rPr>
              <w:t>The legacy accuracy requirements for L1-RSRP measurement in section 10.1.20 of TS 38.133 apply to L1-RSRP measurements with Rel-17 group-based beam reporting.</w:t>
            </w:r>
          </w:p>
          <w:p w14:paraId="6EC95123" w14:textId="52000BC7" w:rsidR="000E6490" w:rsidRPr="000E6490" w:rsidRDefault="000E6490" w:rsidP="000E6490">
            <w:pPr>
              <w:pStyle w:val="ListParagraph"/>
              <w:widowControl/>
              <w:numPr>
                <w:ilvl w:val="0"/>
                <w:numId w:val="29"/>
              </w:numPr>
              <w:overflowPunct w:val="0"/>
              <w:autoSpaceDE w:val="0"/>
              <w:autoSpaceDN w:val="0"/>
              <w:adjustRightInd w:val="0"/>
              <w:spacing w:after="120"/>
              <w:ind w:left="936"/>
              <w:contextualSpacing w:val="0"/>
              <w:rPr>
                <w:rFonts w:eastAsia="新細明體" w:cstheme="minorHAnsi"/>
                <w:szCs w:val="24"/>
              </w:rPr>
            </w:pPr>
            <w:r w:rsidRPr="000E6490">
              <w:rPr>
                <w:color w:val="000000" w:themeColor="text1"/>
                <w:sz w:val="20"/>
                <w:szCs w:val="18"/>
              </w:rPr>
              <w:t>Further discuss whether the existing G for PC3 is still applicable or needs to be revised for the TC. Company to bring CR on the TC in the next meeting, whether the TC can be agreed will be decided in the next meeting.</w:t>
            </w:r>
          </w:p>
        </w:tc>
      </w:tr>
    </w:tbl>
    <w:p w14:paraId="6A75D579" w14:textId="4F5368D7" w:rsidR="0042091A" w:rsidRPr="00DF5E0F" w:rsidRDefault="000E6490" w:rsidP="006F6F58">
      <w:pPr>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n this paper, we provide our view on the remaining issue.</w:t>
      </w:r>
    </w:p>
    <w:p w14:paraId="4F2B115C" w14:textId="6D7FAD88" w:rsidR="000D7ACD" w:rsidRPr="000D7ACD" w:rsidRDefault="00C51F3B" w:rsidP="000D7AC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7E3A621" w14:textId="1501DC49" w:rsidR="00C40474" w:rsidRDefault="000E6490" w:rsidP="00865B23">
      <w:pPr>
        <w:spacing w:beforeLines="50" w:before="120"/>
        <w:jc w:val="both"/>
        <w:rPr>
          <w:rFonts w:eastAsia="新細明體"/>
          <w:bCs/>
        </w:rPr>
      </w:pPr>
      <w:r>
        <w:rPr>
          <w:rFonts w:eastAsia="新細明體" w:hint="eastAsia"/>
          <w:bCs/>
        </w:rPr>
        <w:t>I</w:t>
      </w:r>
      <w:r>
        <w:rPr>
          <w:rFonts w:eastAsia="新細明體"/>
          <w:bCs/>
        </w:rPr>
        <w:t xml:space="preserve">t was agreed in [1] that the </w:t>
      </w:r>
      <w:r w:rsidR="00050AE5">
        <w:rPr>
          <w:rFonts w:eastAsia="新細明體"/>
          <w:bCs/>
        </w:rPr>
        <w:t xml:space="preserve">legacy </w:t>
      </w:r>
      <w:r>
        <w:rPr>
          <w:rFonts w:eastAsia="新細明體"/>
          <w:bCs/>
        </w:rPr>
        <w:t>accuracy requirements for L1-RSRP measurement will be re-used for Rel-17 GBBR reporting. The remaining issue is about the value of the existing G value and whether to introduce the accuracy test case.</w:t>
      </w:r>
    </w:p>
    <w:p w14:paraId="0BFEE60F" w14:textId="352D01A7" w:rsidR="00865B23" w:rsidRPr="000F1D16" w:rsidRDefault="002553D0" w:rsidP="00D1748E">
      <w:pPr>
        <w:spacing w:beforeLines="50" w:before="120"/>
        <w:jc w:val="both"/>
        <w:rPr>
          <w:rFonts w:eastAsia="新細明體"/>
          <w:bCs/>
          <w:szCs w:val="24"/>
        </w:rPr>
      </w:pPr>
      <w:r>
        <w:rPr>
          <w:rFonts w:eastAsia="新細明體"/>
          <w:bCs/>
        </w:rPr>
        <w:t xml:space="preserve">It is important to know that Rel-15 </w:t>
      </w:r>
      <w:r w:rsidR="00230944">
        <w:rPr>
          <w:rFonts w:eastAsia="新細明體"/>
          <w:bCs/>
        </w:rPr>
        <w:t>FR2</w:t>
      </w:r>
      <w:r w:rsidR="00CA05ED">
        <w:rPr>
          <w:rFonts w:eastAsia="新細明體"/>
          <w:bCs/>
        </w:rPr>
        <w:t>-</w:t>
      </w:r>
      <w:r w:rsidR="00230944">
        <w:rPr>
          <w:rFonts w:eastAsia="新細明體"/>
          <w:bCs/>
        </w:rPr>
        <w:t xml:space="preserve">capable </w:t>
      </w:r>
      <w:r>
        <w:rPr>
          <w:rFonts w:eastAsia="新細明體"/>
          <w:bCs/>
        </w:rPr>
        <w:t xml:space="preserve">UE already has multiple panels </w:t>
      </w:r>
      <w:proofErr w:type="gramStart"/>
      <w:r>
        <w:rPr>
          <w:rFonts w:eastAsia="新細明體"/>
          <w:bCs/>
        </w:rPr>
        <w:t>in order to</w:t>
      </w:r>
      <w:proofErr w:type="gramEnd"/>
      <w:r>
        <w:rPr>
          <w:rFonts w:eastAsia="新細明體"/>
          <w:bCs/>
        </w:rPr>
        <w:t xml:space="preserve"> pass the spherical coverage requirements defined in TS 38.101-2. In our understanding, many fundamental UE design</w:t>
      </w:r>
      <w:r w:rsidR="008B23C7">
        <w:rPr>
          <w:rFonts w:eastAsia="新細明體"/>
          <w:bCs/>
        </w:rPr>
        <w:t>s</w:t>
      </w:r>
      <w:r>
        <w:rPr>
          <w:rFonts w:eastAsia="新細明體"/>
          <w:bCs/>
        </w:rPr>
        <w:t xml:space="preserve"> (e.g., # of antenna elements in a panel, RF pathloss and baseband RSRP estimation algorithm) are the same for Rel-15 UE</w:t>
      </w:r>
      <w:r w:rsidR="00EB0E50">
        <w:rPr>
          <w:rFonts w:eastAsia="新細明體"/>
          <w:bCs/>
        </w:rPr>
        <w:t>s</w:t>
      </w:r>
      <w:r>
        <w:rPr>
          <w:rFonts w:eastAsia="新細明體"/>
          <w:bCs/>
        </w:rPr>
        <w:t xml:space="preserve"> and Rel-18 </w:t>
      </w:r>
      <w:proofErr w:type="spellStart"/>
      <w:r>
        <w:rPr>
          <w:rFonts w:eastAsia="新細明體"/>
          <w:bCs/>
        </w:rPr>
        <w:t>mRx</w:t>
      </w:r>
      <w:proofErr w:type="spellEnd"/>
      <w:r>
        <w:rPr>
          <w:rFonts w:eastAsia="新細明體"/>
          <w:bCs/>
        </w:rPr>
        <w:t xml:space="preserve"> UE</w:t>
      </w:r>
      <w:r w:rsidR="00EB0E50">
        <w:rPr>
          <w:rFonts w:eastAsia="新細明體"/>
          <w:bCs/>
        </w:rPr>
        <w:t>s</w:t>
      </w:r>
      <w:r>
        <w:rPr>
          <w:rFonts w:eastAsia="新細明體"/>
          <w:bCs/>
        </w:rPr>
        <w:t xml:space="preserve">. </w:t>
      </w:r>
      <w:r w:rsidR="000E6490">
        <w:rPr>
          <w:rFonts w:eastAsia="新細明體"/>
          <w:bCs/>
        </w:rPr>
        <w:t>The main difference between Rel-15 UE</w:t>
      </w:r>
      <w:r w:rsidR="006A3A85">
        <w:rPr>
          <w:rFonts w:eastAsia="新細明體"/>
          <w:bCs/>
        </w:rPr>
        <w:t>s</w:t>
      </w:r>
      <w:r w:rsidR="000E6490">
        <w:rPr>
          <w:rFonts w:eastAsia="新細明體"/>
          <w:bCs/>
        </w:rPr>
        <w:t xml:space="preserve"> and Rel-18 </w:t>
      </w:r>
      <w:proofErr w:type="spellStart"/>
      <w:r w:rsidR="000E6490">
        <w:rPr>
          <w:rFonts w:eastAsia="新細明體"/>
          <w:bCs/>
        </w:rPr>
        <w:t>mRx</w:t>
      </w:r>
      <w:proofErr w:type="spellEnd"/>
      <w:r w:rsidR="000E6490">
        <w:rPr>
          <w:rFonts w:eastAsia="新細明體"/>
          <w:bCs/>
        </w:rPr>
        <w:t xml:space="preserve"> UE</w:t>
      </w:r>
      <w:r w:rsidR="006A3A85">
        <w:rPr>
          <w:rFonts w:eastAsia="新細明體"/>
          <w:bCs/>
        </w:rPr>
        <w:t>s</w:t>
      </w:r>
      <w:r w:rsidR="000E6490">
        <w:rPr>
          <w:rFonts w:eastAsia="新細明體"/>
          <w:bCs/>
        </w:rPr>
        <w:t xml:space="preserve"> is that </w:t>
      </w:r>
      <w:r w:rsidR="00470591">
        <w:rPr>
          <w:rFonts w:eastAsia="新細明體"/>
          <w:bCs/>
        </w:rPr>
        <w:t xml:space="preserve">Rel-18 </w:t>
      </w:r>
      <w:proofErr w:type="spellStart"/>
      <w:r w:rsidR="000E6490">
        <w:rPr>
          <w:rFonts w:eastAsia="新細明體"/>
          <w:bCs/>
        </w:rPr>
        <w:t>mRx</w:t>
      </w:r>
      <w:proofErr w:type="spellEnd"/>
      <w:r w:rsidR="000E6490">
        <w:rPr>
          <w:rFonts w:eastAsia="新細明體"/>
          <w:bCs/>
        </w:rPr>
        <w:t xml:space="preserve"> UE</w:t>
      </w:r>
      <w:r w:rsidR="006A3A85">
        <w:rPr>
          <w:rFonts w:eastAsia="新細明體"/>
          <w:bCs/>
        </w:rPr>
        <w:t>s</w:t>
      </w:r>
      <w:r w:rsidR="000E6490">
        <w:rPr>
          <w:rFonts w:eastAsia="新細明體"/>
          <w:bCs/>
        </w:rPr>
        <w:t xml:space="preserve"> can activate more than 1 panel at a time while Rel-15 UE is </w:t>
      </w:r>
      <w:r w:rsidR="000E6490" w:rsidRPr="000F1D16">
        <w:rPr>
          <w:rFonts w:eastAsia="新細明體"/>
          <w:bCs/>
          <w:szCs w:val="24"/>
        </w:rPr>
        <w:t xml:space="preserve">not required to do so. Since all </w:t>
      </w:r>
      <w:proofErr w:type="spellStart"/>
      <w:r w:rsidR="000E6490" w:rsidRPr="000F1D16">
        <w:rPr>
          <w:rFonts w:eastAsia="新細明體"/>
          <w:bCs/>
          <w:szCs w:val="24"/>
        </w:rPr>
        <w:t>mRx</w:t>
      </w:r>
      <w:proofErr w:type="spellEnd"/>
      <w:r w:rsidR="000E6490" w:rsidRPr="000F1D16">
        <w:rPr>
          <w:rFonts w:eastAsia="新細明體"/>
          <w:bCs/>
          <w:szCs w:val="24"/>
        </w:rPr>
        <w:t xml:space="preserve"> UE</w:t>
      </w:r>
      <w:r w:rsidR="006A3A85" w:rsidRPr="000F1D16">
        <w:rPr>
          <w:rFonts w:eastAsia="新細明體"/>
          <w:bCs/>
          <w:szCs w:val="24"/>
        </w:rPr>
        <w:t>s</w:t>
      </w:r>
      <w:r w:rsidR="000E6490" w:rsidRPr="000F1D16">
        <w:rPr>
          <w:rFonts w:eastAsia="新細明體"/>
          <w:bCs/>
          <w:szCs w:val="24"/>
        </w:rPr>
        <w:t xml:space="preserve"> can also activate only 1 panel at a time, we believe that Rel-15 legacy test is already sufficient to verify UE’s L1-RSRP measurement accuracy. </w:t>
      </w:r>
      <w:bookmarkStart w:id="2" w:name="OLE_LINK1"/>
    </w:p>
    <w:p w14:paraId="2F13C3FA" w14:textId="4445F32C" w:rsidR="00142733" w:rsidRPr="000F1D16" w:rsidRDefault="00142733" w:rsidP="00142733">
      <w:pPr>
        <w:pStyle w:val="Caption"/>
        <w:rPr>
          <w:sz w:val="24"/>
          <w:szCs w:val="24"/>
        </w:rPr>
      </w:pPr>
      <w:bookmarkStart w:id="3" w:name="_Ref166071206"/>
      <w:r w:rsidRPr="000F1D16">
        <w:rPr>
          <w:sz w:val="24"/>
          <w:szCs w:val="24"/>
        </w:rPr>
        <w:t xml:space="preserve">Proposal </w:t>
      </w:r>
      <w:r w:rsidR="00000000" w:rsidRPr="000F1D16">
        <w:rPr>
          <w:sz w:val="24"/>
          <w:szCs w:val="24"/>
        </w:rPr>
        <w:fldChar w:fldCharType="begin"/>
      </w:r>
      <w:r w:rsidR="00000000" w:rsidRPr="000F1D16">
        <w:rPr>
          <w:sz w:val="24"/>
          <w:szCs w:val="24"/>
        </w:rPr>
        <w:instrText xml:space="preserve"> SEQ Proposal \* ARABIC </w:instrText>
      </w:r>
      <w:r w:rsidR="00000000" w:rsidRPr="000F1D16">
        <w:rPr>
          <w:sz w:val="24"/>
          <w:szCs w:val="24"/>
        </w:rPr>
        <w:fldChar w:fldCharType="separate"/>
      </w:r>
      <w:r w:rsidR="00283AB0">
        <w:rPr>
          <w:noProof/>
          <w:sz w:val="24"/>
          <w:szCs w:val="24"/>
        </w:rPr>
        <w:t>1</w:t>
      </w:r>
      <w:r w:rsidR="00000000" w:rsidRPr="000F1D16">
        <w:rPr>
          <w:noProof/>
          <w:sz w:val="24"/>
          <w:szCs w:val="24"/>
        </w:rPr>
        <w:fldChar w:fldCharType="end"/>
      </w:r>
      <w:r w:rsidRPr="000F1D16">
        <w:rPr>
          <w:sz w:val="24"/>
          <w:szCs w:val="24"/>
        </w:rPr>
        <w:t xml:space="preserve">: No need to introduce new test cases for measurement accuracy for </w:t>
      </w:r>
      <w:proofErr w:type="spellStart"/>
      <w:r w:rsidRPr="000F1D16">
        <w:rPr>
          <w:sz w:val="24"/>
          <w:szCs w:val="24"/>
        </w:rPr>
        <w:t>mRx</w:t>
      </w:r>
      <w:proofErr w:type="spellEnd"/>
      <w:r w:rsidRPr="000F1D16">
        <w:rPr>
          <w:sz w:val="24"/>
          <w:szCs w:val="24"/>
        </w:rPr>
        <w:t xml:space="preserve"> UE</w:t>
      </w:r>
      <w:r w:rsidR="001148DD" w:rsidRPr="000F1D16">
        <w:rPr>
          <w:sz w:val="24"/>
          <w:szCs w:val="24"/>
        </w:rPr>
        <w:t>s</w:t>
      </w:r>
      <w:r w:rsidRPr="000F1D16">
        <w:rPr>
          <w:sz w:val="24"/>
          <w:szCs w:val="24"/>
        </w:rPr>
        <w:t>.</w:t>
      </w:r>
      <w:bookmarkEnd w:id="3"/>
    </w:p>
    <w:bookmarkEnd w:id="2"/>
    <w:p w14:paraId="0B351543" w14:textId="0E7D4FFC" w:rsidR="00F32795" w:rsidRPr="000F1D16" w:rsidRDefault="00F32795" w:rsidP="00F32795">
      <w:pPr>
        <w:rPr>
          <w:rFonts w:eastAsia="新細明體"/>
          <w:szCs w:val="24"/>
        </w:rPr>
      </w:pPr>
    </w:p>
    <w:p w14:paraId="4AB370AB" w14:textId="31489947" w:rsidR="001148DD" w:rsidRPr="000F1D16" w:rsidRDefault="00F32795" w:rsidP="0016224F">
      <w:pPr>
        <w:jc w:val="both"/>
        <w:rPr>
          <w:rFonts w:eastAsia="新細明體"/>
          <w:bCs/>
          <w:szCs w:val="24"/>
        </w:rPr>
      </w:pPr>
      <w:r w:rsidRPr="000F1D16">
        <w:rPr>
          <w:rFonts w:eastAsia="新細明體" w:hint="eastAsia"/>
          <w:szCs w:val="24"/>
        </w:rPr>
        <w:t>F</w:t>
      </w:r>
      <w:r w:rsidRPr="000F1D16">
        <w:rPr>
          <w:rFonts w:eastAsia="新細明體"/>
          <w:szCs w:val="24"/>
        </w:rPr>
        <w:t xml:space="preserve">ollowing above logic, we believe the value of gain G of </w:t>
      </w:r>
      <w:proofErr w:type="spellStart"/>
      <w:r w:rsidRPr="000F1D16">
        <w:rPr>
          <w:rFonts w:eastAsia="新細明體"/>
          <w:szCs w:val="24"/>
        </w:rPr>
        <w:t>mRx</w:t>
      </w:r>
      <w:proofErr w:type="spellEnd"/>
      <w:r w:rsidRPr="000F1D16">
        <w:rPr>
          <w:rFonts w:eastAsia="新細明體"/>
          <w:szCs w:val="24"/>
        </w:rPr>
        <w:t xml:space="preserve"> UE</w:t>
      </w:r>
      <w:r w:rsidR="0078488B" w:rsidRPr="000F1D16">
        <w:rPr>
          <w:rFonts w:eastAsia="新細明體"/>
          <w:szCs w:val="24"/>
        </w:rPr>
        <w:t>s</w:t>
      </w:r>
      <w:r w:rsidRPr="000F1D16">
        <w:rPr>
          <w:rFonts w:eastAsia="新細明體"/>
          <w:szCs w:val="24"/>
        </w:rPr>
        <w:t xml:space="preserve"> can also be the same as Rel-15 </w:t>
      </w:r>
      <w:r w:rsidR="001148DD" w:rsidRPr="000F1D16">
        <w:rPr>
          <w:rFonts w:eastAsia="新細明體"/>
          <w:szCs w:val="24"/>
        </w:rPr>
        <w:t xml:space="preserve">PC3 </w:t>
      </w:r>
      <w:r w:rsidRPr="000F1D16">
        <w:rPr>
          <w:rFonts w:eastAsia="新細明體"/>
          <w:szCs w:val="24"/>
        </w:rPr>
        <w:t>UEs.</w:t>
      </w:r>
    </w:p>
    <w:p w14:paraId="60F61C19" w14:textId="7AD97542" w:rsidR="001148DD" w:rsidRPr="000F1D16" w:rsidRDefault="001148DD" w:rsidP="001148DD">
      <w:pPr>
        <w:pStyle w:val="Caption"/>
        <w:rPr>
          <w:sz w:val="24"/>
          <w:szCs w:val="24"/>
        </w:rPr>
      </w:pPr>
      <w:bookmarkStart w:id="4" w:name="_Ref166071208"/>
      <w:r w:rsidRPr="000F1D16">
        <w:rPr>
          <w:sz w:val="24"/>
          <w:szCs w:val="24"/>
        </w:rPr>
        <w:t xml:space="preserve">Proposal </w:t>
      </w:r>
      <w:r w:rsidRPr="000F1D16">
        <w:rPr>
          <w:sz w:val="24"/>
          <w:szCs w:val="24"/>
        </w:rPr>
        <w:fldChar w:fldCharType="begin"/>
      </w:r>
      <w:r w:rsidRPr="000F1D16">
        <w:rPr>
          <w:sz w:val="24"/>
          <w:szCs w:val="24"/>
        </w:rPr>
        <w:instrText xml:space="preserve"> SEQ Proposal \* ARABIC </w:instrText>
      </w:r>
      <w:r w:rsidRPr="000F1D16">
        <w:rPr>
          <w:sz w:val="24"/>
          <w:szCs w:val="24"/>
        </w:rPr>
        <w:fldChar w:fldCharType="separate"/>
      </w:r>
      <w:r w:rsidR="00283AB0">
        <w:rPr>
          <w:noProof/>
          <w:sz w:val="24"/>
          <w:szCs w:val="24"/>
        </w:rPr>
        <w:t>2</w:t>
      </w:r>
      <w:r w:rsidRPr="000F1D16">
        <w:rPr>
          <w:noProof/>
          <w:sz w:val="24"/>
          <w:szCs w:val="24"/>
        </w:rPr>
        <w:fldChar w:fldCharType="end"/>
      </w:r>
      <w:r w:rsidRPr="000F1D16">
        <w:rPr>
          <w:sz w:val="24"/>
          <w:szCs w:val="24"/>
        </w:rPr>
        <w:t xml:space="preserve">: Re-use the existing G value of PC3 UEs to </w:t>
      </w:r>
      <w:proofErr w:type="spellStart"/>
      <w:r w:rsidRPr="000F1D16">
        <w:rPr>
          <w:sz w:val="24"/>
          <w:szCs w:val="24"/>
        </w:rPr>
        <w:t>mRx</w:t>
      </w:r>
      <w:proofErr w:type="spellEnd"/>
      <w:r w:rsidRPr="000F1D16">
        <w:rPr>
          <w:sz w:val="24"/>
          <w:szCs w:val="24"/>
        </w:rPr>
        <w:t xml:space="preserve"> UEs.</w:t>
      </w:r>
      <w:bookmarkEnd w:id="4"/>
    </w:p>
    <w:p w14:paraId="7B83E90B" w14:textId="77777777" w:rsidR="001148DD" w:rsidRPr="001148DD" w:rsidRDefault="001148DD" w:rsidP="00F32795">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3048161C" w14:textId="41EAE2F9" w:rsidR="00F531F5" w:rsidRDefault="006F7557" w:rsidP="00DB4DB8">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FC1FB3">
        <w:rPr>
          <w:rFonts w:cstheme="minorHAnsi"/>
          <w:szCs w:val="24"/>
        </w:rPr>
        <w:t>we provided our view on the measurement accuracy test and the value of G. We have the following 2 proposals.</w:t>
      </w:r>
    </w:p>
    <w:p w14:paraId="6B124485" w14:textId="77777777" w:rsidR="00FC1FB3" w:rsidRDefault="00FC1FB3" w:rsidP="00DB4DB8">
      <w:pPr>
        <w:adjustRightInd w:val="0"/>
        <w:snapToGrid w:val="0"/>
        <w:rPr>
          <w:rFonts w:cstheme="minorHAnsi"/>
          <w:szCs w:val="24"/>
        </w:rPr>
      </w:pPr>
    </w:p>
    <w:p w14:paraId="1E15C330" w14:textId="71632B24" w:rsidR="00FC1FB3" w:rsidRDefault="00FC1FB3" w:rsidP="00DB4DB8">
      <w:pPr>
        <w:adjustRightInd w:val="0"/>
        <w:snapToGrid w:val="0"/>
        <w:rPr>
          <w:b/>
          <w:szCs w:val="24"/>
        </w:rPr>
      </w:pPr>
      <w:r w:rsidRPr="00FC1FB3">
        <w:rPr>
          <w:b/>
          <w:szCs w:val="24"/>
        </w:rPr>
        <w:fldChar w:fldCharType="begin"/>
      </w:r>
      <w:r w:rsidRPr="00FC1FB3">
        <w:rPr>
          <w:b/>
          <w:szCs w:val="24"/>
        </w:rPr>
        <w:instrText xml:space="preserve"> REF _Ref166071206 \h  \* MERGEFORMAT </w:instrText>
      </w:r>
      <w:r w:rsidRPr="00FC1FB3">
        <w:rPr>
          <w:b/>
          <w:szCs w:val="24"/>
        </w:rPr>
      </w:r>
      <w:r w:rsidRPr="00FC1FB3">
        <w:rPr>
          <w:b/>
          <w:szCs w:val="24"/>
        </w:rPr>
        <w:fldChar w:fldCharType="separate"/>
      </w:r>
      <w:r w:rsidR="00283AB0" w:rsidRPr="00283AB0">
        <w:rPr>
          <w:b/>
        </w:rPr>
        <w:t xml:space="preserve">Proposal </w:t>
      </w:r>
      <w:r w:rsidR="00283AB0" w:rsidRPr="00283AB0">
        <w:rPr>
          <w:b/>
          <w:noProof/>
        </w:rPr>
        <w:t>1</w:t>
      </w:r>
      <w:r w:rsidR="00283AB0" w:rsidRPr="00283AB0">
        <w:rPr>
          <w:b/>
        </w:rPr>
        <w:t xml:space="preserve">: No need to introduce new test cases for measurement accuracy for </w:t>
      </w:r>
      <w:proofErr w:type="spellStart"/>
      <w:r w:rsidR="00283AB0" w:rsidRPr="00283AB0">
        <w:rPr>
          <w:b/>
        </w:rPr>
        <w:t>mRx</w:t>
      </w:r>
      <w:proofErr w:type="spellEnd"/>
      <w:r w:rsidR="00283AB0" w:rsidRPr="00283AB0">
        <w:rPr>
          <w:b/>
        </w:rPr>
        <w:t xml:space="preserve"> UEs.</w:t>
      </w:r>
      <w:r w:rsidRPr="00FC1FB3">
        <w:rPr>
          <w:b/>
          <w:szCs w:val="24"/>
        </w:rPr>
        <w:fldChar w:fldCharType="end"/>
      </w:r>
    </w:p>
    <w:p w14:paraId="4F9C8017" w14:textId="77777777" w:rsidR="00FC1FB3" w:rsidRPr="00FC1FB3" w:rsidRDefault="00FC1FB3" w:rsidP="00DB4DB8">
      <w:pPr>
        <w:adjustRightInd w:val="0"/>
        <w:snapToGrid w:val="0"/>
        <w:rPr>
          <w:b/>
          <w:szCs w:val="24"/>
        </w:rPr>
      </w:pPr>
    </w:p>
    <w:p w14:paraId="12137422" w14:textId="38441A81" w:rsidR="00FC1FB3" w:rsidRPr="00FC1FB3" w:rsidRDefault="00FC1FB3" w:rsidP="00DB4DB8">
      <w:pPr>
        <w:adjustRightInd w:val="0"/>
        <w:snapToGrid w:val="0"/>
        <w:rPr>
          <w:b/>
          <w:szCs w:val="24"/>
        </w:rPr>
      </w:pPr>
      <w:r w:rsidRPr="00FC1FB3">
        <w:rPr>
          <w:b/>
          <w:szCs w:val="24"/>
        </w:rPr>
        <w:fldChar w:fldCharType="begin"/>
      </w:r>
      <w:r w:rsidRPr="00FC1FB3">
        <w:rPr>
          <w:b/>
          <w:szCs w:val="24"/>
        </w:rPr>
        <w:instrText xml:space="preserve"> REF _Ref166071208 \h  \* MERGEFORMAT </w:instrText>
      </w:r>
      <w:r w:rsidRPr="00FC1FB3">
        <w:rPr>
          <w:b/>
          <w:szCs w:val="24"/>
        </w:rPr>
      </w:r>
      <w:r w:rsidRPr="00FC1FB3">
        <w:rPr>
          <w:b/>
          <w:szCs w:val="24"/>
        </w:rPr>
        <w:fldChar w:fldCharType="separate"/>
      </w:r>
      <w:r w:rsidR="00283AB0" w:rsidRPr="00283AB0">
        <w:rPr>
          <w:b/>
        </w:rPr>
        <w:t xml:space="preserve">Proposal </w:t>
      </w:r>
      <w:r w:rsidR="00283AB0" w:rsidRPr="00283AB0">
        <w:rPr>
          <w:b/>
          <w:noProof/>
        </w:rPr>
        <w:t>2</w:t>
      </w:r>
      <w:r w:rsidR="00283AB0" w:rsidRPr="00283AB0">
        <w:rPr>
          <w:b/>
        </w:rPr>
        <w:t xml:space="preserve">: Re-use the existing G value of PC3 UEs to </w:t>
      </w:r>
      <w:proofErr w:type="spellStart"/>
      <w:r w:rsidR="00283AB0" w:rsidRPr="00283AB0">
        <w:rPr>
          <w:b/>
        </w:rPr>
        <w:t>mRx</w:t>
      </w:r>
      <w:proofErr w:type="spellEnd"/>
      <w:r w:rsidR="00283AB0" w:rsidRPr="00283AB0">
        <w:rPr>
          <w:b/>
        </w:rPr>
        <w:t xml:space="preserve"> UEs.</w:t>
      </w:r>
      <w:r w:rsidRPr="00FC1FB3">
        <w:rPr>
          <w:b/>
          <w:szCs w:val="24"/>
        </w:rPr>
        <w:fldChar w:fldCharType="end"/>
      </w:r>
    </w:p>
    <w:p w14:paraId="464EC152" w14:textId="77777777" w:rsidR="00F531F5" w:rsidRPr="00F531F5" w:rsidRDefault="00F531F5" w:rsidP="004D1B58">
      <w:pPr>
        <w:rPr>
          <w:rFonts w:eastAsia="新細明體"/>
          <w:b/>
          <w:szCs w:val="24"/>
        </w:rPr>
      </w:pP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5" w:name="_Hlk94866332"/>
      <w:r w:rsidRPr="003533F2">
        <w:rPr>
          <w:rFonts w:asciiTheme="minorHAnsi" w:hAnsiTheme="minorHAnsi" w:cstheme="minorHAnsi"/>
          <w:szCs w:val="36"/>
        </w:rPr>
        <w:t>Reference</w:t>
      </w:r>
    </w:p>
    <w:p w14:paraId="01A949EE" w14:textId="7CBA2846" w:rsidR="002D7540" w:rsidRPr="002D7540" w:rsidRDefault="003E20BE" w:rsidP="00A25032">
      <w:pPr>
        <w:pStyle w:val="Caption"/>
        <w:rPr>
          <w:rFonts w:cstheme="minorHAnsi"/>
          <w:szCs w:val="24"/>
        </w:rPr>
      </w:pPr>
      <w:bookmarkStart w:id="6" w:name="_Hlk141011611"/>
      <w:bookmarkStart w:id="7" w:name="_Ref141290370"/>
      <w:bookmarkEnd w:id="5"/>
      <w:r w:rsidRPr="002D7540">
        <w:rPr>
          <w:rFonts w:cstheme="minorHAnsi"/>
          <w:b w:val="0"/>
          <w:sz w:val="24"/>
          <w:szCs w:val="24"/>
        </w:rPr>
        <w:t>[</w:t>
      </w:r>
      <w:r w:rsidR="004337EE" w:rsidRPr="002D7540">
        <w:rPr>
          <w:rFonts w:cstheme="minorHAnsi"/>
          <w:b w:val="0"/>
          <w:sz w:val="24"/>
          <w:szCs w:val="24"/>
        </w:rPr>
        <w:t>1</w:t>
      </w:r>
      <w:r w:rsidRPr="002D7540">
        <w:rPr>
          <w:rFonts w:cstheme="minorHAnsi"/>
          <w:b w:val="0"/>
          <w:sz w:val="24"/>
          <w:szCs w:val="24"/>
        </w:rPr>
        <w:t xml:space="preserve">] </w:t>
      </w:r>
      <w:r w:rsidR="00DF5E0F" w:rsidRPr="002D7540">
        <w:rPr>
          <w:rFonts w:cstheme="minorHAnsi"/>
          <w:b w:val="0"/>
          <w:sz w:val="24"/>
          <w:szCs w:val="24"/>
        </w:rPr>
        <w:t>R4-2406365</w:t>
      </w:r>
      <w:r w:rsidR="00F662DD">
        <w:rPr>
          <w:rFonts w:eastAsia="新細明體" w:cstheme="minorHAnsi" w:hint="eastAsia"/>
          <w:b w:val="0"/>
          <w:sz w:val="24"/>
          <w:szCs w:val="24"/>
        </w:rPr>
        <w:t>,</w:t>
      </w:r>
      <w:r w:rsidR="00DF5E0F" w:rsidRPr="002D7540">
        <w:rPr>
          <w:rFonts w:cstheme="minorHAnsi"/>
          <w:b w:val="0"/>
          <w:sz w:val="24"/>
          <w:szCs w:val="24"/>
        </w:rPr>
        <w:t xml:space="preserve"> WF on core maintenance and performance part for multi-Rx</w:t>
      </w:r>
      <w:r w:rsidR="00AD4E01" w:rsidRPr="002D7540">
        <w:rPr>
          <w:rFonts w:cstheme="minorHAnsi"/>
          <w:b w:val="0"/>
          <w:sz w:val="24"/>
          <w:szCs w:val="24"/>
        </w:rPr>
        <w:t>, Vivo,</w:t>
      </w:r>
      <w:r w:rsidR="00154FA6" w:rsidRPr="002D7540">
        <w:rPr>
          <w:rFonts w:cstheme="minorHAnsi"/>
          <w:b w:val="0"/>
          <w:sz w:val="24"/>
          <w:szCs w:val="24"/>
        </w:rPr>
        <w:t xml:space="preserve"> Ericsson</w:t>
      </w:r>
      <w:r w:rsidR="00A23ECA">
        <w:rPr>
          <w:rFonts w:cstheme="minorHAnsi"/>
          <w:b w:val="0"/>
          <w:sz w:val="24"/>
          <w:szCs w:val="24"/>
        </w:rPr>
        <w:t>,</w:t>
      </w:r>
      <w:r w:rsidR="00AD4E01" w:rsidRPr="002D7540">
        <w:rPr>
          <w:rFonts w:cstheme="minorHAnsi"/>
          <w:b w:val="0"/>
          <w:sz w:val="24"/>
          <w:szCs w:val="24"/>
        </w:rPr>
        <w:t xml:space="preserve"> RAN4 #1</w:t>
      </w:r>
      <w:bookmarkEnd w:id="6"/>
      <w:bookmarkEnd w:id="7"/>
      <w:r w:rsidR="003C7F4B" w:rsidRPr="002D7540">
        <w:rPr>
          <w:rFonts w:cstheme="minorHAnsi"/>
          <w:b w:val="0"/>
          <w:sz w:val="24"/>
          <w:szCs w:val="24"/>
        </w:rPr>
        <w:t>10</w:t>
      </w:r>
      <w:r w:rsidR="00DF5E0F" w:rsidRPr="002D7540">
        <w:rPr>
          <w:rFonts w:cstheme="minorHAnsi"/>
          <w:b w:val="0"/>
          <w:sz w:val="24"/>
          <w:szCs w:val="24"/>
        </w:rPr>
        <w:t>-bis</w:t>
      </w:r>
    </w:p>
    <w:sectPr w:rsidR="002D7540" w:rsidRPr="002D754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0722C" w14:textId="77777777" w:rsidR="0070691F" w:rsidRDefault="0070691F">
      <w:r>
        <w:separator/>
      </w:r>
    </w:p>
  </w:endnote>
  <w:endnote w:type="continuationSeparator" w:id="0">
    <w:p w14:paraId="2F7030EE" w14:textId="77777777" w:rsidR="0070691F" w:rsidRDefault="0070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altName w:val="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2F70" w14:textId="77777777" w:rsidR="0070691F" w:rsidRDefault="0070691F">
      <w:r>
        <w:separator/>
      </w:r>
    </w:p>
  </w:footnote>
  <w:footnote w:type="continuationSeparator" w:id="0">
    <w:p w14:paraId="6ABE6913" w14:textId="77777777" w:rsidR="0070691F" w:rsidRDefault="00706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FEB"/>
    <w:multiLevelType w:val="multilevel"/>
    <w:tmpl w:val="224ADD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104221D"/>
    <w:multiLevelType w:val="hybridMultilevel"/>
    <w:tmpl w:val="BC1AA4B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07766"/>
    <w:multiLevelType w:val="hybridMultilevel"/>
    <w:tmpl w:val="4670B5F8"/>
    <w:lvl w:ilvl="0" w:tplc="C1406FB2">
      <w:start w:val="1"/>
      <w:numFmt w:val="bullet"/>
      <w:lvlText w:val="­"/>
      <w:lvlJc w:val="left"/>
      <w:pPr>
        <w:ind w:left="764" w:hanging="480"/>
      </w:pPr>
      <w:rPr>
        <w:rFonts w:ascii="Modern No. 20" w:hAnsi="Modern No. 20"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42BA0"/>
    <w:multiLevelType w:val="multilevel"/>
    <w:tmpl w:val="B1A6E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FB5815"/>
    <w:multiLevelType w:val="multilevel"/>
    <w:tmpl w:val="B978B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start w:val="1"/>
      <w:numFmt w:val="bullet"/>
      <w:lvlText w:val=""/>
      <w:lvlJc w:val="left"/>
      <w:pPr>
        <w:ind w:left="1240" w:hanging="480"/>
      </w:pPr>
      <w:rPr>
        <w:rFonts w:ascii="Wingdings" w:hAnsi="Wingdings" w:hint="default"/>
      </w:rPr>
    </w:lvl>
    <w:lvl w:ilvl="2" w:tplc="04090005">
      <w:start w:val="1"/>
      <w:numFmt w:val="bullet"/>
      <w:lvlText w:val=""/>
      <w:lvlJc w:val="left"/>
      <w:pPr>
        <w:ind w:left="1720" w:hanging="480"/>
      </w:pPr>
      <w:rPr>
        <w:rFonts w:ascii="Wingdings" w:hAnsi="Wingdings" w:hint="default"/>
      </w:rPr>
    </w:lvl>
    <w:lvl w:ilvl="3" w:tplc="04090001">
      <w:start w:val="1"/>
      <w:numFmt w:val="bullet"/>
      <w:lvlText w:val=""/>
      <w:lvlJc w:val="left"/>
      <w:pPr>
        <w:ind w:left="2200" w:hanging="480"/>
      </w:pPr>
      <w:rPr>
        <w:rFonts w:ascii="Wingdings" w:hAnsi="Wingdings" w:hint="default"/>
      </w:rPr>
    </w:lvl>
    <w:lvl w:ilvl="4" w:tplc="04090003">
      <w:start w:val="1"/>
      <w:numFmt w:val="bullet"/>
      <w:lvlText w:val=""/>
      <w:lvlJc w:val="left"/>
      <w:pPr>
        <w:ind w:left="2680" w:hanging="480"/>
      </w:pPr>
      <w:rPr>
        <w:rFonts w:ascii="Wingdings" w:hAnsi="Wingdings" w:hint="default"/>
      </w:rPr>
    </w:lvl>
    <w:lvl w:ilvl="5" w:tplc="04090005">
      <w:start w:val="1"/>
      <w:numFmt w:val="bullet"/>
      <w:lvlText w:val=""/>
      <w:lvlJc w:val="left"/>
      <w:pPr>
        <w:ind w:left="3160" w:hanging="480"/>
      </w:pPr>
      <w:rPr>
        <w:rFonts w:ascii="Wingdings" w:hAnsi="Wingdings" w:hint="default"/>
      </w:rPr>
    </w:lvl>
    <w:lvl w:ilvl="6" w:tplc="04090001">
      <w:start w:val="1"/>
      <w:numFmt w:val="bullet"/>
      <w:lvlText w:val=""/>
      <w:lvlJc w:val="left"/>
      <w:pPr>
        <w:ind w:left="3640" w:hanging="480"/>
      </w:pPr>
      <w:rPr>
        <w:rFonts w:ascii="Wingdings" w:hAnsi="Wingdings" w:hint="default"/>
      </w:rPr>
    </w:lvl>
    <w:lvl w:ilvl="7" w:tplc="04090003">
      <w:start w:val="1"/>
      <w:numFmt w:val="bullet"/>
      <w:lvlText w:val=""/>
      <w:lvlJc w:val="left"/>
      <w:pPr>
        <w:ind w:left="4120" w:hanging="480"/>
      </w:pPr>
      <w:rPr>
        <w:rFonts w:ascii="Wingdings" w:hAnsi="Wingdings" w:hint="default"/>
      </w:rPr>
    </w:lvl>
    <w:lvl w:ilvl="8" w:tplc="04090005">
      <w:start w:val="1"/>
      <w:numFmt w:val="bullet"/>
      <w:lvlText w:val=""/>
      <w:lvlJc w:val="left"/>
      <w:pPr>
        <w:ind w:left="4600" w:hanging="480"/>
      </w:pPr>
      <w:rPr>
        <w:rFonts w:ascii="Wingdings" w:hAnsi="Wingdings" w:hint="default"/>
      </w:rPr>
    </w:lvl>
  </w:abstractNum>
  <w:abstractNum w:abstractNumId="9" w15:restartNumberingAfterBreak="0">
    <w:nsid w:val="249D5983"/>
    <w:multiLevelType w:val="hybridMultilevel"/>
    <w:tmpl w:val="C652ED96"/>
    <w:lvl w:ilvl="0" w:tplc="F9C81F16">
      <w:start w:val="1"/>
      <w:numFmt w:val="bullet"/>
      <w:lvlText w:val=""/>
      <w:lvlJc w:val="left"/>
      <w:pPr>
        <w:ind w:left="480" w:hanging="480"/>
      </w:pPr>
      <w:rPr>
        <w:rFonts w:ascii="Symbol" w:hAnsi="Symbol"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C61B4E"/>
    <w:multiLevelType w:val="hybridMultilevel"/>
    <w:tmpl w:val="69C28FB0"/>
    <w:lvl w:ilvl="0" w:tplc="E3A830BA">
      <w:start w:val="1"/>
      <w:numFmt w:val="decimal"/>
      <w:lvlText w:val="%1)"/>
      <w:lvlJc w:val="left"/>
      <w:pPr>
        <w:ind w:left="928" w:hanging="360"/>
      </w:pPr>
      <w:rPr>
        <w:rFonts w:asciiTheme="minorHAnsi" w:eastAsia="新細明體" w:hAnsiTheme="minorHAnsi" w:cstheme="minorBidi"/>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11" w15:restartNumberingAfterBreak="0">
    <w:nsid w:val="306C6C31"/>
    <w:multiLevelType w:val="multilevel"/>
    <w:tmpl w:val="C35E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C6B52"/>
    <w:multiLevelType w:val="multilevel"/>
    <w:tmpl w:val="C9787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127DB7"/>
    <w:multiLevelType w:val="hybridMultilevel"/>
    <w:tmpl w:val="5426963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A08CC19C"/>
    <w:lvl w:ilvl="0" w:tplc="F9C81F16">
      <w:start w:val="1"/>
      <w:numFmt w:val="bullet"/>
      <w:lvlText w:val=""/>
      <w:lvlJc w:val="left"/>
      <w:pPr>
        <w:ind w:left="-232" w:hanging="360"/>
      </w:pPr>
      <w:rPr>
        <w:rFonts w:ascii="Symbol" w:hAnsi="Symbol" w:hint="default"/>
      </w:rPr>
    </w:lvl>
    <w:lvl w:ilvl="1" w:tplc="F9C81F16">
      <w:start w:val="1"/>
      <w:numFmt w:val="bullet"/>
      <w:lvlText w:val=""/>
      <w:lvlJc w:val="left"/>
      <w:pPr>
        <w:ind w:left="608" w:hanging="480"/>
      </w:pPr>
      <w:rPr>
        <w:rFonts w:ascii="Symbol" w:hAnsi="Symbol" w:hint="default"/>
      </w:rPr>
    </w:lvl>
    <w:lvl w:ilvl="2" w:tplc="04190005">
      <w:start w:val="1"/>
      <w:numFmt w:val="bullet"/>
      <w:lvlText w:val=""/>
      <w:lvlJc w:val="left"/>
      <w:pPr>
        <w:ind w:left="1208" w:hanging="360"/>
      </w:pPr>
      <w:rPr>
        <w:rFonts w:ascii="Wingdings" w:hAnsi="Wingdings" w:hint="default"/>
      </w:rPr>
    </w:lvl>
    <w:lvl w:ilvl="3" w:tplc="04190001">
      <w:start w:val="1"/>
      <w:numFmt w:val="bullet"/>
      <w:lvlText w:val=""/>
      <w:lvlJc w:val="left"/>
      <w:pPr>
        <w:ind w:left="1928" w:hanging="360"/>
      </w:pPr>
      <w:rPr>
        <w:rFonts w:ascii="Symbol" w:hAnsi="Symbol" w:hint="default"/>
      </w:rPr>
    </w:lvl>
    <w:lvl w:ilvl="4" w:tplc="04190003">
      <w:start w:val="1"/>
      <w:numFmt w:val="bullet"/>
      <w:lvlText w:val="o"/>
      <w:lvlJc w:val="left"/>
      <w:pPr>
        <w:ind w:left="2648" w:hanging="360"/>
      </w:pPr>
      <w:rPr>
        <w:rFonts w:ascii="Courier New" w:hAnsi="Courier New" w:cs="Courier New" w:hint="default"/>
      </w:rPr>
    </w:lvl>
    <w:lvl w:ilvl="5" w:tplc="04190005" w:tentative="1">
      <w:start w:val="1"/>
      <w:numFmt w:val="bullet"/>
      <w:lvlText w:val=""/>
      <w:lvlJc w:val="left"/>
      <w:pPr>
        <w:ind w:left="3368" w:hanging="360"/>
      </w:pPr>
      <w:rPr>
        <w:rFonts w:ascii="Wingdings" w:hAnsi="Wingdings" w:hint="default"/>
      </w:rPr>
    </w:lvl>
    <w:lvl w:ilvl="6" w:tplc="04190001" w:tentative="1">
      <w:start w:val="1"/>
      <w:numFmt w:val="bullet"/>
      <w:lvlText w:val=""/>
      <w:lvlJc w:val="left"/>
      <w:pPr>
        <w:ind w:left="4088" w:hanging="360"/>
      </w:pPr>
      <w:rPr>
        <w:rFonts w:ascii="Symbol" w:hAnsi="Symbol" w:hint="default"/>
      </w:rPr>
    </w:lvl>
    <w:lvl w:ilvl="7" w:tplc="04190003" w:tentative="1">
      <w:start w:val="1"/>
      <w:numFmt w:val="bullet"/>
      <w:lvlText w:val="o"/>
      <w:lvlJc w:val="left"/>
      <w:pPr>
        <w:ind w:left="4808" w:hanging="360"/>
      </w:pPr>
      <w:rPr>
        <w:rFonts w:ascii="Courier New" w:hAnsi="Courier New" w:cs="Courier New" w:hint="default"/>
      </w:rPr>
    </w:lvl>
    <w:lvl w:ilvl="8" w:tplc="04190005" w:tentative="1">
      <w:start w:val="1"/>
      <w:numFmt w:val="bullet"/>
      <w:lvlText w:val=""/>
      <w:lvlJc w:val="left"/>
      <w:pPr>
        <w:ind w:left="5528" w:hanging="360"/>
      </w:pPr>
      <w:rPr>
        <w:rFonts w:ascii="Wingdings" w:hAnsi="Wingdings"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EE68B3"/>
    <w:multiLevelType w:val="hybridMultilevel"/>
    <w:tmpl w:val="B5CE1A68"/>
    <w:lvl w:ilvl="0" w:tplc="C1406FB2">
      <w:start w:val="1"/>
      <w:numFmt w:val="bullet"/>
      <w:lvlText w:val="­"/>
      <w:lvlJc w:val="left"/>
      <w:pPr>
        <w:ind w:left="580" w:hanging="480"/>
      </w:pPr>
      <w:rPr>
        <w:rFonts w:ascii="Modern No. 20" w:hAnsi="Modern No. 20"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712F7B5B"/>
    <w:multiLevelType w:val="hybridMultilevel"/>
    <w:tmpl w:val="E6026362"/>
    <w:lvl w:ilvl="0" w:tplc="F9C81F16">
      <w:start w:val="1"/>
      <w:numFmt w:val="bullet"/>
      <w:lvlText w:val=""/>
      <w:lvlJc w:val="left"/>
      <w:pPr>
        <w:ind w:left="184" w:hanging="480"/>
      </w:pPr>
      <w:rPr>
        <w:rFonts w:ascii="Symbol" w:hAnsi="Symbol" w:hint="default"/>
      </w:rPr>
    </w:lvl>
    <w:lvl w:ilvl="1" w:tplc="04090003" w:tentative="1">
      <w:start w:val="1"/>
      <w:numFmt w:val="bullet"/>
      <w:lvlText w:val=""/>
      <w:lvlJc w:val="left"/>
      <w:pPr>
        <w:ind w:left="664" w:hanging="480"/>
      </w:pPr>
      <w:rPr>
        <w:rFonts w:ascii="Wingdings" w:hAnsi="Wingdings" w:hint="default"/>
      </w:rPr>
    </w:lvl>
    <w:lvl w:ilvl="2" w:tplc="04090005" w:tentative="1">
      <w:start w:val="1"/>
      <w:numFmt w:val="bullet"/>
      <w:lvlText w:val=""/>
      <w:lvlJc w:val="left"/>
      <w:pPr>
        <w:ind w:left="1144" w:hanging="480"/>
      </w:pPr>
      <w:rPr>
        <w:rFonts w:ascii="Wingdings" w:hAnsi="Wingdings" w:hint="default"/>
      </w:rPr>
    </w:lvl>
    <w:lvl w:ilvl="3" w:tplc="04090001" w:tentative="1">
      <w:start w:val="1"/>
      <w:numFmt w:val="bullet"/>
      <w:lvlText w:val=""/>
      <w:lvlJc w:val="left"/>
      <w:pPr>
        <w:ind w:left="1624" w:hanging="480"/>
      </w:pPr>
      <w:rPr>
        <w:rFonts w:ascii="Wingdings" w:hAnsi="Wingdings" w:hint="default"/>
      </w:rPr>
    </w:lvl>
    <w:lvl w:ilvl="4" w:tplc="04090003" w:tentative="1">
      <w:start w:val="1"/>
      <w:numFmt w:val="bullet"/>
      <w:lvlText w:val=""/>
      <w:lvlJc w:val="left"/>
      <w:pPr>
        <w:ind w:left="2104" w:hanging="480"/>
      </w:pPr>
      <w:rPr>
        <w:rFonts w:ascii="Wingdings" w:hAnsi="Wingdings" w:hint="default"/>
      </w:rPr>
    </w:lvl>
    <w:lvl w:ilvl="5" w:tplc="04090005" w:tentative="1">
      <w:start w:val="1"/>
      <w:numFmt w:val="bullet"/>
      <w:lvlText w:val=""/>
      <w:lvlJc w:val="left"/>
      <w:pPr>
        <w:ind w:left="2584" w:hanging="480"/>
      </w:pPr>
      <w:rPr>
        <w:rFonts w:ascii="Wingdings" w:hAnsi="Wingdings" w:hint="default"/>
      </w:rPr>
    </w:lvl>
    <w:lvl w:ilvl="6" w:tplc="04090001" w:tentative="1">
      <w:start w:val="1"/>
      <w:numFmt w:val="bullet"/>
      <w:lvlText w:val=""/>
      <w:lvlJc w:val="left"/>
      <w:pPr>
        <w:ind w:left="3064" w:hanging="480"/>
      </w:pPr>
      <w:rPr>
        <w:rFonts w:ascii="Wingdings" w:hAnsi="Wingdings" w:hint="default"/>
      </w:rPr>
    </w:lvl>
    <w:lvl w:ilvl="7" w:tplc="04090003" w:tentative="1">
      <w:start w:val="1"/>
      <w:numFmt w:val="bullet"/>
      <w:lvlText w:val=""/>
      <w:lvlJc w:val="left"/>
      <w:pPr>
        <w:ind w:left="3544" w:hanging="480"/>
      </w:pPr>
      <w:rPr>
        <w:rFonts w:ascii="Wingdings" w:hAnsi="Wingdings" w:hint="default"/>
      </w:rPr>
    </w:lvl>
    <w:lvl w:ilvl="8" w:tplc="04090005" w:tentative="1">
      <w:start w:val="1"/>
      <w:numFmt w:val="bullet"/>
      <w:lvlText w:val=""/>
      <w:lvlJc w:val="left"/>
      <w:pPr>
        <w:ind w:left="4024" w:hanging="480"/>
      </w:pPr>
      <w:rPr>
        <w:rFonts w:ascii="Wingdings" w:hAnsi="Wingdings" w:hint="default"/>
      </w:rPr>
    </w:lvl>
  </w:abstractNum>
  <w:abstractNum w:abstractNumId="20" w15:restartNumberingAfterBreak="0">
    <w:nsid w:val="7BE01AC4"/>
    <w:multiLevelType w:val="multilevel"/>
    <w:tmpl w:val="1AB01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17"/>
  </w:num>
  <w:num w:numId="2" w16cid:durableId="1505629085">
    <w:abstractNumId w:val="13"/>
  </w:num>
  <w:num w:numId="3" w16cid:durableId="1025862210">
    <w:abstractNumId w:val="4"/>
  </w:num>
  <w:num w:numId="4" w16cid:durableId="875964040">
    <w:abstractNumId w:val="2"/>
  </w:num>
  <w:num w:numId="5" w16cid:durableId="1812016113">
    <w:abstractNumId w:val="21"/>
  </w:num>
  <w:num w:numId="6" w16cid:durableId="1048188775">
    <w:abstractNumId w:val="11"/>
  </w:num>
  <w:num w:numId="7" w16cid:durableId="888883312">
    <w:abstractNumId w:val="16"/>
  </w:num>
  <w:num w:numId="8" w16cid:durableId="375932589">
    <w:abstractNumId w:val="6"/>
  </w:num>
  <w:num w:numId="9" w16cid:durableId="1949384060">
    <w:abstractNumId w:val="12"/>
  </w:num>
  <w:num w:numId="10" w16cid:durableId="888803933">
    <w:abstractNumId w:val="20"/>
  </w:num>
  <w:num w:numId="11" w16cid:durableId="213545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221706">
    <w:abstractNumId w:val="1"/>
  </w:num>
  <w:num w:numId="13" w16cid:durableId="1141575898">
    <w:abstractNumId w:val="5"/>
  </w:num>
  <w:num w:numId="14" w16cid:durableId="1675719076">
    <w:abstractNumId w:val="14"/>
  </w:num>
  <w:num w:numId="15" w16cid:durableId="925764870">
    <w:abstractNumId w:val="7"/>
  </w:num>
  <w:num w:numId="16" w16cid:durableId="1861890165">
    <w:abstractNumId w:val="15"/>
  </w:num>
  <w:num w:numId="17" w16cid:durableId="921641926">
    <w:abstractNumId w:val="8"/>
  </w:num>
  <w:num w:numId="18" w16cid:durableId="1770154624">
    <w:abstractNumId w:val="0"/>
  </w:num>
  <w:num w:numId="19" w16cid:durableId="42751330">
    <w:abstractNumId w:val="6"/>
  </w:num>
  <w:num w:numId="20" w16cid:durableId="97143876">
    <w:abstractNumId w:val="16"/>
  </w:num>
  <w:num w:numId="21" w16cid:durableId="1437141166">
    <w:abstractNumId w:val="10"/>
  </w:num>
  <w:num w:numId="22" w16cid:durableId="1887721800">
    <w:abstractNumId w:val="19"/>
  </w:num>
  <w:num w:numId="23" w16cid:durableId="148635895">
    <w:abstractNumId w:val="9"/>
  </w:num>
  <w:num w:numId="24" w16cid:durableId="17970583">
    <w:abstractNumId w:val="16"/>
  </w:num>
  <w:num w:numId="25" w16cid:durableId="1291545617">
    <w:abstractNumId w:val="3"/>
  </w:num>
  <w:num w:numId="26" w16cid:durableId="297804604">
    <w:abstractNumId w:val="18"/>
  </w:num>
  <w:num w:numId="27" w16cid:durableId="1489396234">
    <w:abstractNumId w:val="16"/>
  </w:num>
  <w:num w:numId="28" w16cid:durableId="1506673931">
    <w:abstractNumId w:val="18"/>
  </w:num>
  <w:num w:numId="29" w16cid:durableId="164373089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6D5C"/>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AE5"/>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5F56"/>
    <w:rsid w:val="000D6323"/>
    <w:rsid w:val="000D6626"/>
    <w:rsid w:val="000D6D54"/>
    <w:rsid w:val="000D6FFB"/>
    <w:rsid w:val="000D71D7"/>
    <w:rsid w:val="000D7412"/>
    <w:rsid w:val="000D7ACD"/>
    <w:rsid w:val="000D7D65"/>
    <w:rsid w:val="000E0B61"/>
    <w:rsid w:val="000E0C7D"/>
    <w:rsid w:val="000E14B3"/>
    <w:rsid w:val="000E166B"/>
    <w:rsid w:val="000E16B7"/>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490"/>
    <w:rsid w:val="000E6A1C"/>
    <w:rsid w:val="000E6E5C"/>
    <w:rsid w:val="000E6EFC"/>
    <w:rsid w:val="000E706C"/>
    <w:rsid w:val="000E7A5F"/>
    <w:rsid w:val="000E7AFA"/>
    <w:rsid w:val="000F0786"/>
    <w:rsid w:val="000F0E8B"/>
    <w:rsid w:val="000F1031"/>
    <w:rsid w:val="000F1B61"/>
    <w:rsid w:val="000F1B74"/>
    <w:rsid w:val="000F1D16"/>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12D"/>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8DD"/>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733"/>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336"/>
    <w:rsid w:val="0015087F"/>
    <w:rsid w:val="00151039"/>
    <w:rsid w:val="001513D3"/>
    <w:rsid w:val="00151893"/>
    <w:rsid w:val="00151A33"/>
    <w:rsid w:val="00151B29"/>
    <w:rsid w:val="00151B93"/>
    <w:rsid w:val="00151F20"/>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24F"/>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C"/>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3D7D"/>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864"/>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C5E"/>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296"/>
    <w:rsid w:val="0022654A"/>
    <w:rsid w:val="00227589"/>
    <w:rsid w:val="0022795B"/>
    <w:rsid w:val="00227C15"/>
    <w:rsid w:val="00227E07"/>
    <w:rsid w:val="00230944"/>
    <w:rsid w:val="00230D63"/>
    <w:rsid w:val="002312F4"/>
    <w:rsid w:val="0023131B"/>
    <w:rsid w:val="0023151C"/>
    <w:rsid w:val="00231A14"/>
    <w:rsid w:val="00231C4E"/>
    <w:rsid w:val="00231F60"/>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3D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85"/>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851"/>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AB0"/>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1B6"/>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40"/>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85F"/>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503"/>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5E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C7F4B"/>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0FA"/>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091A"/>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97A"/>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91"/>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B58"/>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478"/>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557"/>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4B0"/>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0AD6"/>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6B5"/>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5F5E"/>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00E"/>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A85"/>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2B77"/>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882"/>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91F"/>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0C6"/>
    <w:rsid w:val="007253FE"/>
    <w:rsid w:val="0072553A"/>
    <w:rsid w:val="00725FE9"/>
    <w:rsid w:val="00726200"/>
    <w:rsid w:val="00726285"/>
    <w:rsid w:val="00726344"/>
    <w:rsid w:val="00726439"/>
    <w:rsid w:val="00726C6F"/>
    <w:rsid w:val="00727275"/>
    <w:rsid w:val="007275A4"/>
    <w:rsid w:val="00727DF5"/>
    <w:rsid w:val="00727FD1"/>
    <w:rsid w:val="0073125D"/>
    <w:rsid w:val="00731371"/>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1E50"/>
    <w:rsid w:val="0074224C"/>
    <w:rsid w:val="0074227A"/>
    <w:rsid w:val="00743083"/>
    <w:rsid w:val="0074344E"/>
    <w:rsid w:val="007438F4"/>
    <w:rsid w:val="00743F02"/>
    <w:rsid w:val="007440A3"/>
    <w:rsid w:val="007442E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81"/>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88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4A11"/>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0EAD"/>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D92"/>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23"/>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7B"/>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3C7"/>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1BB"/>
    <w:rsid w:val="008B77B0"/>
    <w:rsid w:val="008C09EB"/>
    <w:rsid w:val="008C146F"/>
    <w:rsid w:val="008C178D"/>
    <w:rsid w:val="008C1912"/>
    <w:rsid w:val="008C2186"/>
    <w:rsid w:val="008C22E1"/>
    <w:rsid w:val="008C24DA"/>
    <w:rsid w:val="008C40F0"/>
    <w:rsid w:val="008C410A"/>
    <w:rsid w:val="008C42D8"/>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9E8"/>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1CEE"/>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B2"/>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298"/>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1C4"/>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B78"/>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3ECA"/>
    <w:rsid w:val="00A243D4"/>
    <w:rsid w:val="00A24755"/>
    <w:rsid w:val="00A2490D"/>
    <w:rsid w:val="00A24AD5"/>
    <w:rsid w:val="00A24D91"/>
    <w:rsid w:val="00A24DEF"/>
    <w:rsid w:val="00A25008"/>
    <w:rsid w:val="00A25032"/>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202"/>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8A"/>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027"/>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69B"/>
    <w:rsid w:val="00AD77A0"/>
    <w:rsid w:val="00AD7992"/>
    <w:rsid w:val="00AD7AFE"/>
    <w:rsid w:val="00AD7EFE"/>
    <w:rsid w:val="00AE0009"/>
    <w:rsid w:val="00AE0569"/>
    <w:rsid w:val="00AE08ED"/>
    <w:rsid w:val="00AE13F6"/>
    <w:rsid w:val="00AE1B78"/>
    <w:rsid w:val="00AE20D7"/>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54"/>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8EE"/>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B88"/>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00"/>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D8B"/>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403"/>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496A"/>
    <w:rsid w:val="00C3547B"/>
    <w:rsid w:val="00C3550C"/>
    <w:rsid w:val="00C35E7A"/>
    <w:rsid w:val="00C36388"/>
    <w:rsid w:val="00C371E7"/>
    <w:rsid w:val="00C37251"/>
    <w:rsid w:val="00C37BB2"/>
    <w:rsid w:val="00C37EA6"/>
    <w:rsid w:val="00C37FF1"/>
    <w:rsid w:val="00C40474"/>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DBA"/>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97E"/>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5ED"/>
    <w:rsid w:val="00CA06D0"/>
    <w:rsid w:val="00CA0940"/>
    <w:rsid w:val="00CA0B70"/>
    <w:rsid w:val="00CA0BB5"/>
    <w:rsid w:val="00CA0DD7"/>
    <w:rsid w:val="00CA1894"/>
    <w:rsid w:val="00CA1A53"/>
    <w:rsid w:val="00CA270E"/>
    <w:rsid w:val="00CA2E41"/>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1748E"/>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9C0"/>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DB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C765C"/>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213"/>
    <w:rsid w:val="00DF3DD5"/>
    <w:rsid w:val="00DF42F3"/>
    <w:rsid w:val="00DF574A"/>
    <w:rsid w:val="00DF5D00"/>
    <w:rsid w:val="00DF5E0F"/>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273"/>
    <w:rsid w:val="00E40910"/>
    <w:rsid w:val="00E40E55"/>
    <w:rsid w:val="00E410BA"/>
    <w:rsid w:val="00E4212A"/>
    <w:rsid w:val="00E4263F"/>
    <w:rsid w:val="00E4297D"/>
    <w:rsid w:val="00E4298A"/>
    <w:rsid w:val="00E42FB1"/>
    <w:rsid w:val="00E43370"/>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5F60"/>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093"/>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0E50"/>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0BC"/>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5D"/>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8"/>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79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4C1"/>
    <w:rsid w:val="00F52AE0"/>
    <w:rsid w:val="00F52CE2"/>
    <w:rsid w:val="00F530B4"/>
    <w:rsid w:val="00F531F5"/>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2DD"/>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0F3"/>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AD7"/>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1FB3"/>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EE9"/>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16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41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1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511979">
      <w:bodyDiv w:val="1"/>
      <w:marLeft w:val="0"/>
      <w:marRight w:val="0"/>
      <w:marTop w:val="0"/>
      <w:marBottom w:val="0"/>
      <w:divBdr>
        <w:top w:val="none" w:sz="0" w:space="0" w:color="auto"/>
        <w:left w:val="none" w:sz="0" w:space="0" w:color="auto"/>
        <w:bottom w:val="none" w:sz="0" w:space="0" w:color="auto"/>
        <w:right w:val="none" w:sz="0" w:space="0" w:color="auto"/>
      </w:divBdr>
    </w:div>
    <w:div w:id="5127131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18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007104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49084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425781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0858593">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19825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78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473159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13370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92249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1851998">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532323">
      <w:bodyDiv w:val="1"/>
      <w:marLeft w:val="0"/>
      <w:marRight w:val="0"/>
      <w:marTop w:val="0"/>
      <w:marBottom w:val="0"/>
      <w:divBdr>
        <w:top w:val="none" w:sz="0" w:space="0" w:color="auto"/>
        <w:left w:val="none" w:sz="0" w:space="0" w:color="auto"/>
        <w:bottom w:val="none" w:sz="0" w:space="0" w:color="auto"/>
        <w:right w:val="none" w:sz="0" w:space="0" w:color="auto"/>
      </w:divBdr>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548512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0848382">
      <w:bodyDiv w:val="1"/>
      <w:marLeft w:val="0"/>
      <w:marRight w:val="0"/>
      <w:marTop w:val="0"/>
      <w:marBottom w:val="0"/>
      <w:divBdr>
        <w:top w:val="none" w:sz="0" w:space="0" w:color="auto"/>
        <w:left w:val="none" w:sz="0" w:space="0" w:color="auto"/>
        <w:bottom w:val="none" w:sz="0" w:space="0" w:color="auto"/>
        <w:right w:val="none" w:sz="0" w:space="0" w:color="auto"/>
      </w:divBdr>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382911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770433">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098673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933404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040439">
      <w:bodyDiv w:val="1"/>
      <w:marLeft w:val="0"/>
      <w:marRight w:val="0"/>
      <w:marTop w:val="0"/>
      <w:marBottom w:val="0"/>
      <w:divBdr>
        <w:top w:val="none" w:sz="0" w:space="0" w:color="auto"/>
        <w:left w:val="none" w:sz="0" w:space="0" w:color="auto"/>
        <w:bottom w:val="none" w:sz="0" w:space="0" w:color="auto"/>
        <w:right w:val="none" w:sz="0" w:space="0" w:color="auto"/>
      </w:divBdr>
    </w:div>
    <w:div w:id="1130246885">
      <w:bodyDiv w:val="1"/>
      <w:marLeft w:val="0"/>
      <w:marRight w:val="0"/>
      <w:marTop w:val="0"/>
      <w:marBottom w:val="0"/>
      <w:divBdr>
        <w:top w:val="none" w:sz="0" w:space="0" w:color="auto"/>
        <w:left w:val="none" w:sz="0" w:space="0" w:color="auto"/>
        <w:bottom w:val="none" w:sz="0" w:space="0" w:color="auto"/>
        <w:right w:val="none" w:sz="0" w:space="0" w:color="auto"/>
      </w:divBdr>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345249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52196759">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8773943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2124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544464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738203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76567611">
      <w:bodyDiv w:val="1"/>
      <w:marLeft w:val="0"/>
      <w:marRight w:val="0"/>
      <w:marTop w:val="0"/>
      <w:marBottom w:val="0"/>
      <w:divBdr>
        <w:top w:val="none" w:sz="0" w:space="0" w:color="auto"/>
        <w:left w:val="none" w:sz="0" w:space="0" w:color="auto"/>
        <w:bottom w:val="none" w:sz="0" w:space="0" w:color="auto"/>
        <w:right w:val="none" w:sz="0" w:space="0" w:color="auto"/>
      </w:divBdr>
    </w:div>
    <w:div w:id="168686063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350487">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1530345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072158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117714">
      <w:bodyDiv w:val="1"/>
      <w:marLeft w:val="0"/>
      <w:marRight w:val="0"/>
      <w:marTop w:val="0"/>
      <w:marBottom w:val="0"/>
      <w:divBdr>
        <w:top w:val="none" w:sz="0" w:space="0" w:color="auto"/>
        <w:left w:val="none" w:sz="0" w:space="0" w:color="auto"/>
        <w:bottom w:val="none" w:sz="0" w:space="0" w:color="auto"/>
        <w:right w:val="none" w:sz="0" w:space="0" w:color="auto"/>
      </w:divBdr>
    </w:div>
    <w:div w:id="2059474425">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47</cp:revision>
  <dcterms:created xsi:type="dcterms:W3CDTF">2024-04-07T14:15:00Z</dcterms:created>
  <dcterms:modified xsi:type="dcterms:W3CDTF">2024-05-12T02:46:00Z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